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校内零星工程维修清单及要求</w:t>
      </w:r>
    </w:p>
    <w:bookmarkEnd w:id="0"/>
    <w:tbl>
      <w:tblPr>
        <w:tblStyle w:val="2"/>
        <w:tblW w:w="9300" w:type="dxa"/>
        <w:tblInd w:w="-4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283"/>
        <w:gridCol w:w="1500"/>
        <w:gridCol w:w="1125"/>
        <w:gridCol w:w="1421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序号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项目名称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计算单位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数量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投标单价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小计</w:t>
            </w: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2号教学楼吸水彩砖补修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2号教学楼地砖空鼓、破换，包铲除清理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13栋学生宿舍漏水（铲除部分瓷砖，补顶裂缝，补防瓷涤料）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3栋/12栋6楼补仿瓷，补裂缝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/>
              </w:rPr>
              <w:t>3栋/12栋栋屋顶消防水箱间排水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C3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随眠</cp:lastModifiedBy>
  <dcterms:modified xsi:type="dcterms:W3CDTF">2020-07-31T09:10:13Z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